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D2" w:rsidRPr="00E05EDC" w:rsidRDefault="00D36333">
      <w:pPr>
        <w:spacing w:after="0" w:line="240" w:lineRule="auto"/>
        <w:jc w:val="both"/>
        <w:rPr>
          <w:rFonts w:asciiTheme="minorHAnsi" w:hAnsiTheme="minorHAnsi" w:cstheme="minorHAnsi"/>
          <w:b/>
          <w:sz w:val="28"/>
          <w:szCs w:val="28"/>
        </w:rPr>
      </w:pPr>
      <w:r w:rsidRPr="00E05EDC">
        <w:rPr>
          <w:rFonts w:asciiTheme="minorHAnsi" w:hAnsiTheme="minorHAnsi" w:cstheme="minorHAnsi"/>
          <w:b/>
          <w:sz w:val="28"/>
          <w:szCs w:val="28"/>
        </w:rPr>
        <w:t xml:space="preserve">Der Begriff Sorge </w:t>
      </w:r>
      <w:r w:rsidR="00673441" w:rsidRPr="00E05EDC">
        <w:rPr>
          <w:rFonts w:asciiTheme="minorHAnsi" w:hAnsiTheme="minorHAnsi" w:cstheme="minorHAnsi"/>
          <w:b/>
          <w:sz w:val="28"/>
          <w:szCs w:val="28"/>
        </w:rPr>
        <w:t>(</w:t>
      </w:r>
      <w:proofErr w:type="spellStart"/>
      <w:r w:rsidR="00673441" w:rsidRPr="00E05EDC">
        <w:rPr>
          <w:rFonts w:asciiTheme="minorHAnsi" w:hAnsiTheme="minorHAnsi" w:cstheme="minorHAnsi"/>
          <w:b/>
          <w:sz w:val="28"/>
          <w:szCs w:val="28"/>
        </w:rPr>
        <w:t>Wikipedia</w:t>
      </w:r>
      <w:proofErr w:type="spellEnd"/>
      <w:r w:rsidR="00673441" w:rsidRPr="00E05EDC">
        <w:rPr>
          <w:rFonts w:asciiTheme="minorHAnsi" w:hAnsiTheme="minorHAnsi" w:cstheme="minorHAnsi"/>
          <w:b/>
          <w:sz w:val="28"/>
          <w:szCs w:val="28"/>
        </w:rPr>
        <w:t>, Stand 14. 09.16)</w:t>
      </w:r>
    </w:p>
    <w:p w:rsidR="003870D2" w:rsidRDefault="003870D2">
      <w:pPr>
        <w:spacing w:after="0" w:line="240" w:lineRule="auto"/>
        <w:jc w:val="both"/>
        <w:rPr>
          <w:rFonts w:asciiTheme="minorHAnsi" w:hAnsiTheme="minorHAnsi" w:cstheme="minorHAnsi"/>
          <w:b/>
          <w:sz w:val="24"/>
          <w:szCs w:val="24"/>
        </w:rPr>
      </w:pPr>
    </w:p>
    <w:p w:rsidR="003870D2" w:rsidRDefault="00D36333">
      <w:pPr>
        <w:spacing w:after="0" w:line="240" w:lineRule="auto"/>
        <w:jc w:val="both"/>
        <w:rPr>
          <w:rFonts w:asciiTheme="minorHAnsi" w:hAnsiTheme="minorHAnsi" w:cstheme="minorHAnsi"/>
          <w:sz w:val="24"/>
          <w:szCs w:val="24"/>
        </w:rPr>
      </w:pPr>
      <w:r w:rsidRPr="00D36333">
        <w:rPr>
          <w:rFonts w:asciiTheme="minorHAnsi" w:hAnsiTheme="minorHAnsi" w:cstheme="minorHAnsi"/>
          <w:sz w:val="24"/>
          <w:szCs w:val="24"/>
        </w:rPr>
        <w:t xml:space="preserve">Der Begriff </w:t>
      </w:r>
      <w:r w:rsidRPr="00D36333">
        <w:rPr>
          <w:rFonts w:asciiTheme="minorHAnsi" w:hAnsiTheme="minorHAnsi" w:cstheme="minorHAnsi"/>
          <w:bCs/>
          <w:sz w:val="24"/>
          <w:szCs w:val="24"/>
        </w:rPr>
        <w:t>Sorge</w:t>
      </w:r>
      <w:r w:rsidRPr="00D36333">
        <w:rPr>
          <w:rFonts w:asciiTheme="minorHAnsi" w:hAnsiTheme="minorHAnsi" w:cstheme="minorHAnsi"/>
          <w:sz w:val="24"/>
          <w:szCs w:val="24"/>
        </w:rPr>
        <w:t xml:space="preserve"> beschreibt ein durch vorausschauende Anteilnahme gekennzeichnetes Verhältnis des menschlichen Subjekts zu seiner Umwelt und zu sich selbst. Eine subjektiv erwartete </w:t>
      </w:r>
      <w:hyperlink r:id="rId8" w:tooltip="Not" w:history="1">
        <w:r w:rsidRPr="00D36333">
          <w:rPr>
            <w:rStyle w:val="Hyperlink"/>
            <w:rFonts w:asciiTheme="minorHAnsi" w:hAnsiTheme="minorHAnsi" w:cstheme="minorHAnsi"/>
            <w:color w:val="auto"/>
            <w:sz w:val="24"/>
            <w:szCs w:val="24"/>
            <w:u w:val="none"/>
          </w:rPr>
          <w:t>Not</w:t>
        </w:r>
      </w:hyperlink>
      <w:r w:rsidRPr="00D36333">
        <w:rPr>
          <w:rFonts w:asciiTheme="minorHAnsi" w:hAnsiTheme="minorHAnsi" w:cstheme="minorHAnsi"/>
          <w:sz w:val="24"/>
          <w:szCs w:val="24"/>
        </w:rPr>
        <w:t xml:space="preserve"> (</w:t>
      </w:r>
      <w:hyperlink r:id="rId9" w:tooltip="Bedürfnis" w:history="1">
        <w:r w:rsidRPr="00D36333">
          <w:rPr>
            <w:rStyle w:val="Hyperlink"/>
            <w:rFonts w:asciiTheme="minorHAnsi" w:hAnsiTheme="minorHAnsi" w:cstheme="minorHAnsi"/>
            <w:color w:val="auto"/>
            <w:sz w:val="24"/>
            <w:szCs w:val="24"/>
            <w:u w:val="none"/>
          </w:rPr>
          <w:t>Bedürfnis</w:t>
        </w:r>
      </w:hyperlink>
      <w:r w:rsidRPr="00D36333">
        <w:rPr>
          <w:rFonts w:asciiTheme="minorHAnsi" w:hAnsiTheme="minorHAnsi" w:cstheme="minorHAnsi"/>
          <w:sz w:val="24"/>
          <w:szCs w:val="24"/>
        </w:rPr>
        <w:t xml:space="preserve">, </w:t>
      </w:r>
      <w:hyperlink r:id="rId10" w:tooltip="Gefahr" w:history="1">
        <w:r w:rsidRPr="00D36333">
          <w:rPr>
            <w:rStyle w:val="Hyperlink"/>
            <w:rFonts w:asciiTheme="minorHAnsi" w:hAnsiTheme="minorHAnsi" w:cstheme="minorHAnsi"/>
            <w:color w:val="auto"/>
            <w:sz w:val="24"/>
            <w:szCs w:val="24"/>
            <w:u w:val="none"/>
          </w:rPr>
          <w:t>Gefahr</w:t>
        </w:r>
      </w:hyperlink>
      <w:r w:rsidRPr="00D36333">
        <w:rPr>
          <w:rFonts w:asciiTheme="minorHAnsi" w:hAnsiTheme="minorHAnsi" w:cstheme="minorHAnsi"/>
          <w:sz w:val="24"/>
          <w:szCs w:val="24"/>
        </w:rPr>
        <w:t xml:space="preserve">) wird gedanklich vorweggenommen und wirkt sich im </w:t>
      </w:r>
      <w:hyperlink r:id="rId11" w:tooltip="Fühlen (Psychologie)" w:history="1">
        <w:r w:rsidRPr="00D36333">
          <w:rPr>
            <w:rStyle w:val="Hyperlink"/>
            <w:rFonts w:asciiTheme="minorHAnsi" w:hAnsiTheme="minorHAnsi" w:cstheme="minorHAnsi"/>
            <w:color w:val="auto"/>
            <w:sz w:val="24"/>
            <w:szCs w:val="24"/>
            <w:u w:val="none"/>
          </w:rPr>
          <w:t>Fühlen</w:t>
        </w:r>
      </w:hyperlink>
      <w:r w:rsidRPr="00D36333">
        <w:rPr>
          <w:rFonts w:asciiTheme="minorHAnsi" w:hAnsiTheme="minorHAnsi" w:cstheme="minorHAnsi"/>
          <w:sz w:val="24"/>
          <w:szCs w:val="24"/>
        </w:rPr>
        <w:t xml:space="preserve">, </w:t>
      </w:r>
      <w:hyperlink r:id="rId12" w:tooltip="Denken" w:history="1">
        <w:r w:rsidRPr="00D36333">
          <w:rPr>
            <w:rStyle w:val="Hyperlink"/>
            <w:rFonts w:asciiTheme="minorHAnsi" w:hAnsiTheme="minorHAnsi" w:cstheme="minorHAnsi"/>
            <w:color w:val="auto"/>
            <w:sz w:val="24"/>
            <w:szCs w:val="24"/>
            <w:u w:val="none"/>
          </w:rPr>
          <w:t>Denken</w:t>
        </w:r>
      </w:hyperlink>
      <w:r w:rsidRPr="00D36333">
        <w:rPr>
          <w:rFonts w:asciiTheme="minorHAnsi" w:hAnsiTheme="minorHAnsi" w:cstheme="minorHAnsi"/>
          <w:sz w:val="24"/>
          <w:szCs w:val="24"/>
        </w:rPr>
        <w:t xml:space="preserve"> und </w:t>
      </w:r>
      <w:hyperlink r:id="rId13" w:tooltip="Handeln" w:history="1">
        <w:r w:rsidRPr="00D36333">
          <w:rPr>
            <w:rStyle w:val="Hyperlink"/>
            <w:rFonts w:asciiTheme="minorHAnsi" w:hAnsiTheme="minorHAnsi" w:cstheme="minorHAnsi"/>
            <w:color w:val="auto"/>
            <w:sz w:val="24"/>
            <w:szCs w:val="24"/>
            <w:u w:val="none"/>
          </w:rPr>
          <w:t>Handeln</w:t>
        </w:r>
      </w:hyperlink>
      <w:r w:rsidRPr="00D36333">
        <w:rPr>
          <w:rFonts w:asciiTheme="minorHAnsi" w:hAnsiTheme="minorHAnsi" w:cstheme="minorHAnsi"/>
          <w:sz w:val="24"/>
          <w:szCs w:val="24"/>
        </w:rPr>
        <w:t xml:space="preserve"> des Besorgten oder Sorgenden aus. Das Spektrum reicht dabei von innerlichem Besorgt- oder Beängstigt-Sein bis zur tätigen Sorge für oder um etwas.</w:t>
      </w:r>
    </w:p>
    <w:p w:rsidR="003870D2" w:rsidRDefault="003870D2">
      <w:pPr>
        <w:spacing w:after="0" w:line="240" w:lineRule="auto"/>
        <w:jc w:val="both"/>
        <w:rPr>
          <w:rFonts w:asciiTheme="minorHAnsi" w:eastAsia="Times New Roman" w:hAnsiTheme="minorHAnsi" w:cstheme="minorHAnsi"/>
          <w:sz w:val="24"/>
          <w:szCs w:val="24"/>
          <w:lang w:eastAsia="de-DE"/>
        </w:rPr>
      </w:pPr>
    </w:p>
    <w:p w:rsidR="003870D2" w:rsidRDefault="004008BB">
      <w:pPr>
        <w:spacing w:after="0" w:line="240" w:lineRule="auto"/>
        <w:jc w:val="both"/>
        <w:rPr>
          <w:rFonts w:asciiTheme="minorHAnsi" w:hAnsiTheme="minorHAnsi" w:cstheme="minorHAnsi"/>
          <w:sz w:val="24"/>
          <w:szCs w:val="24"/>
        </w:rPr>
      </w:pPr>
      <w:r>
        <w:rPr>
          <w:rFonts w:asciiTheme="minorHAnsi" w:eastAsia="Times New Roman" w:hAnsiTheme="minorHAnsi" w:cstheme="minorHAnsi"/>
          <w:sz w:val="24"/>
          <w:szCs w:val="24"/>
          <w:lang w:eastAsia="de-DE"/>
        </w:rPr>
        <w:t>[</w:t>
      </w:r>
      <w:r w:rsidR="00D36333" w:rsidRPr="00D36333">
        <w:rPr>
          <w:rFonts w:asciiTheme="minorHAnsi" w:eastAsia="Times New Roman" w:hAnsiTheme="minorHAnsi" w:cstheme="minorHAnsi"/>
          <w:sz w:val="24"/>
          <w:szCs w:val="24"/>
          <w:lang w:eastAsia="de-DE"/>
        </w:rPr>
        <w:t>…</w:t>
      </w:r>
      <w:r>
        <w:rPr>
          <w:rFonts w:asciiTheme="minorHAnsi" w:eastAsia="Times New Roman" w:hAnsiTheme="minorHAnsi" w:cstheme="minorHAnsi"/>
          <w:sz w:val="24"/>
          <w:szCs w:val="24"/>
          <w:lang w:eastAsia="de-DE"/>
        </w:rPr>
        <w:t>]</w:t>
      </w:r>
      <w:r w:rsidR="00D36333" w:rsidRPr="00D36333">
        <w:rPr>
          <w:rFonts w:asciiTheme="minorHAnsi" w:eastAsia="Times New Roman" w:hAnsiTheme="minorHAnsi" w:cstheme="minorHAnsi"/>
          <w:sz w:val="24"/>
          <w:szCs w:val="24"/>
          <w:lang w:eastAsia="de-DE"/>
        </w:rPr>
        <w:t xml:space="preserve"> </w:t>
      </w:r>
      <w:r w:rsidR="00D36333" w:rsidRPr="00D36333">
        <w:rPr>
          <w:rFonts w:asciiTheme="minorHAnsi" w:hAnsiTheme="minorHAnsi" w:cstheme="minorHAnsi"/>
          <w:sz w:val="24"/>
          <w:szCs w:val="24"/>
        </w:rPr>
        <w:t xml:space="preserve">Darüber hinaus bezeichnet die Sorge für etwas oder jemanden (auch </w:t>
      </w:r>
      <w:hyperlink r:id="rId14" w:tooltip="Fürsorge" w:history="1">
        <w:r w:rsidR="00D36333" w:rsidRPr="00D36333">
          <w:rPr>
            <w:rFonts w:asciiTheme="minorHAnsi" w:hAnsiTheme="minorHAnsi" w:cstheme="minorHAnsi"/>
            <w:sz w:val="24"/>
            <w:szCs w:val="24"/>
          </w:rPr>
          <w:t>Fürsorge</w:t>
        </w:r>
      </w:hyperlink>
      <w:r w:rsidR="00D36333" w:rsidRPr="00D36333">
        <w:rPr>
          <w:rFonts w:asciiTheme="minorHAnsi" w:hAnsiTheme="minorHAnsi" w:cstheme="minorHAnsi"/>
          <w:sz w:val="24"/>
          <w:szCs w:val="24"/>
        </w:rPr>
        <w:t xml:space="preserve">) eine Verantwortungsbeziehung zwischen Menschen oder Lebewesen, in der sich ein (Für-)Sorgender verantwortlich um ein ihm anvertrautes anderes Wesen (etwa ein </w:t>
      </w:r>
      <w:hyperlink r:id="rId15" w:tooltip="Haustier" w:history="1">
        <w:r w:rsidR="00D36333" w:rsidRPr="00D36333">
          <w:rPr>
            <w:rFonts w:asciiTheme="minorHAnsi" w:hAnsiTheme="minorHAnsi" w:cstheme="minorHAnsi"/>
            <w:sz w:val="24"/>
            <w:szCs w:val="24"/>
          </w:rPr>
          <w:t>Haustier</w:t>
        </w:r>
      </w:hyperlink>
      <w:r w:rsidR="00D36333" w:rsidRPr="00D36333">
        <w:rPr>
          <w:rFonts w:asciiTheme="minorHAnsi" w:hAnsiTheme="minorHAnsi" w:cstheme="minorHAnsi"/>
          <w:sz w:val="24"/>
          <w:szCs w:val="24"/>
        </w:rPr>
        <w:t xml:space="preserve">, ein </w:t>
      </w:r>
      <w:hyperlink r:id="rId16" w:tooltip="Kind" w:history="1">
        <w:r w:rsidR="00D36333" w:rsidRPr="00D36333">
          <w:rPr>
            <w:rFonts w:asciiTheme="minorHAnsi" w:hAnsiTheme="minorHAnsi" w:cstheme="minorHAnsi"/>
            <w:sz w:val="24"/>
            <w:szCs w:val="24"/>
          </w:rPr>
          <w:t>Kind</w:t>
        </w:r>
      </w:hyperlink>
      <w:r w:rsidR="00D36333" w:rsidRPr="00D36333">
        <w:rPr>
          <w:rFonts w:asciiTheme="minorHAnsi" w:hAnsiTheme="minorHAnsi" w:cstheme="minorHAnsi"/>
          <w:sz w:val="24"/>
          <w:szCs w:val="24"/>
        </w:rPr>
        <w:t xml:space="preserve"> oder eine bedürftige Person) kümmert.</w:t>
      </w:r>
    </w:p>
    <w:p w:rsidR="003870D2" w:rsidRDefault="003870D2">
      <w:pPr>
        <w:spacing w:after="0" w:line="240" w:lineRule="auto"/>
        <w:jc w:val="both"/>
        <w:rPr>
          <w:rFonts w:asciiTheme="minorHAnsi" w:hAnsiTheme="minorHAnsi" w:cstheme="minorHAnsi"/>
          <w:sz w:val="24"/>
          <w:szCs w:val="24"/>
        </w:rPr>
      </w:pPr>
    </w:p>
    <w:p w:rsidR="003870D2" w:rsidRDefault="00D36333">
      <w:pPr>
        <w:spacing w:after="0" w:line="240" w:lineRule="auto"/>
        <w:jc w:val="both"/>
        <w:rPr>
          <w:rFonts w:asciiTheme="minorHAnsi" w:hAnsiTheme="minorHAnsi" w:cstheme="minorHAnsi"/>
          <w:sz w:val="24"/>
          <w:szCs w:val="24"/>
        </w:rPr>
      </w:pPr>
      <w:r w:rsidRPr="00D36333">
        <w:rPr>
          <w:rFonts w:asciiTheme="minorHAnsi" w:hAnsiTheme="minorHAnsi" w:cstheme="minorHAnsi"/>
          <w:sz w:val="24"/>
          <w:szCs w:val="24"/>
        </w:rPr>
        <w:t>In der eher der Schriftsprache zuzurechnenden Wendung „für etwas Sorge tragen“ lässt sich die Sorge in einer dritten Bedeutung als das willentliche Herbeiführen oder Begünstigen eines angestrebten Zielzustands auffassen und entspricht dem allgemeinsprachlichen „dafür sorgen, dass …“, bzw. dem eher umgangssprachlichen „sich darum kümmern, dass …“</w:t>
      </w:r>
    </w:p>
    <w:p w:rsidR="003870D2" w:rsidRDefault="003870D2">
      <w:pPr>
        <w:spacing w:after="0" w:line="240" w:lineRule="auto"/>
        <w:jc w:val="both"/>
        <w:rPr>
          <w:rFonts w:asciiTheme="minorHAnsi" w:hAnsiTheme="minorHAnsi" w:cstheme="minorHAnsi"/>
          <w:sz w:val="24"/>
          <w:szCs w:val="24"/>
        </w:rPr>
      </w:pPr>
    </w:p>
    <w:p w:rsidR="003870D2" w:rsidRDefault="00D36333">
      <w:pPr>
        <w:spacing w:after="0" w:line="240" w:lineRule="auto"/>
        <w:jc w:val="both"/>
        <w:rPr>
          <w:rFonts w:asciiTheme="minorHAnsi" w:hAnsiTheme="minorHAnsi" w:cstheme="minorHAnsi"/>
          <w:b/>
          <w:sz w:val="24"/>
          <w:szCs w:val="24"/>
        </w:rPr>
      </w:pPr>
      <w:r w:rsidRPr="00D36333">
        <w:rPr>
          <w:rFonts w:asciiTheme="minorHAnsi" w:hAnsiTheme="minorHAnsi" w:cstheme="minorHAnsi"/>
          <w:b/>
          <w:sz w:val="24"/>
          <w:szCs w:val="24"/>
        </w:rPr>
        <w:t xml:space="preserve">Der Begriff Sorge in der </w:t>
      </w:r>
      <w:hyperlink r:id="rId17" w:tooltip="Philosophie" w:history="1">
        <w:r w:rsidRPr="00D36333">
          <w:rPr>
            <w:rFonts w:asciiTheme="minorHAnsi" w:hAnsiTheme="minorHAnsi" w:cstheme="minorHAnsi"/>
            <w:b/>
            <w:sz w:val="24"/>
            <w:szCs w:val="24"/>
          </w:rPr>
          <w:t>Philosophie</w:t>
        </w:r>
      </w:hyperlink>
      <w:r w:rsidRPr="00D36333">
        <w:rPr>
          <w:rFonts w:asciiTheme="minorHAnsi" w:hAnsiTheme="minorHAnsi" w:cstheme="minorHAnsi"/>
          <w:b/>
          <w:sz w:val="24"/>
          <w:szCs w:val="24"/>
        </w:rPr>
        <w:t xml:space="preserve"> </w:t>
      </w:r>
      <w:r w:rsidR="00673441">
        <w:rPr>
          <w:rFonts w:asciiTheme="minorHAnsi" w:hAnsiTheme="minorHAnsi" w:cstheme="minorHAnsi"/>
          <w:b/>
          <w:sz w:val="24"/>
          <w:szCs w:val="24"/>
        </w:rPr>
        <w:t>(</w:t>
      </w:r>
      <w:proofErr w:type="spellStart"/>
      <w:r w:rsidR="00673441">
        <w:rPr>
          <w:rFonts w:asciiTheme="minorHAnsi" w:hAnsiTheme="minorHAnsi" w:cstheme="minorHAnsi"/>
          <w:b/>
          <w:sz w:val="24"/>
          <w:szCs w:val="24"/>
        </w:rPr>
        <w:t>Wikipedia</w:t>
      </w:r>
      <w:proofErr w:type="spellEnd"/>
      <w:r w:rsidR="00673441">
        <w:rPr>
          <w:rFonts w:asciiTheme="minorHAnsi" w:hAnsiTheme="minorHAnsi" w:cstheme="minorHAnsi"/>
          <w:b/>
          <w:sz w:val="24"/>
          <w:szCs w:val="24"/>
        </w:rPr>
        <w:t>, Stand 14. 09.16)</w:t>
      </w:r>
    </w:p>
    <w:p w:rsidR="003870D2" w:rsidRDefault="003870D2">
      <w:pPr>
        <w:pStyle w:val="Listenabsatz"/>
        <w:spacing w:after="0" w:line="240" w:lineRule="auto"/>
        <w:ind w:left="0"/>
        <w:contextualSpacing w:val="0"/>
        <w:jc w:val="both"/>
        <w:rPr>
          <w:rFonts w:asciiTheme="minorHAnsi" w:hAnsiTheme="minorHAnsi" w:cstheme="minorHAnsi"/>
          <w:sz w:val="24"/>
          <w:szCs w:val="24"/>
        </w:rPr>
      </w:pPr>
    </w:p>
    <w:p w:rsidR="003870D2" w:rsidRDefault="00D36333">
      <w:pPr>
        <w:pStyle w:val="Listenabsatz"/>
        <w:spacing w:after="0" w:line="240" w:lineRule="auto"/>
        <w:ind w:left="0"/>
        <w:contextualSpacing w:val="0"/>
        <w:jc w:val="both"/>
        <w:rPr>
          <w:rFonts w:asciiTheme="minorHAnsi" w:hAnsiTheme="minorHAnsi" w:cstheme="minorHAnsi"/>
          <w:sz w:val="24"/>
          <w:szCs w:val="24"/>
        </w:rPr>
      </w:pPr>
      <w:r w:rsidRPr="00D36333">
        <w:rPr>
          <w:rFonts w:asciiTheme="minorHAnsi" w:hAnsiTheme="minorHAnsi" w:cstheme="minorHAnsi"/>
          <w:sz w:val="24"/>
          <w:szCs w:val="24"/>
        </w:rPr>
        <w:t xml:space="preserve">Der Begriff der Sorge ist im Werk des Philosophen </w:t>
      </w:r>
      <w:hyperlink r:id="rId18" w:tooltip="Martin Heidegger" w:history="1">
        <w:r w:rsidRPr="00D36333">
          <w:rPr>
            <w:rFonts w:asciiTheme="minorHAnsi" w:hAnsiTheme="minorHAnsi" w:cstheme="minorHAnsi"/>
            <w:sz w:val="24"/>
            <w:szCs w:val="24"/>
          </w:rPr>
          <w:t>Martin Heidegger</w:t>
        </w:r>
      </w:hyperlink>
      <w:r w:rsidRPr="00D36333">
        <w:rPr>
          <w:rFonts w:asciiTheme="minorHAnsi" w:hAnsiTheme="minorHAnsi" w:cstheme="minorHAnsi"/>
          <w:sz w:val="24"/>
          <w:szCs w:val="24"/>
        </w:rPr>
        <w:t xml:space="preserve"> ein zentrales Thema. Für Heidegger bestimmt Sorge das </w:t>
      </w:r>
      <w:hyperlink r:id="rId19" w:tooltip="Dasein" w:history="1">
        <w:r w:rsidRPr="00D36333">
          <w:rPr>
            <w:rFonts w:asciiTheme="minorHAnsi" w:hAnsiTheme="minorHAnsi" w:cstheme="minorHAnsi"/>
            <w:sz w:val="24"/>
            <w:szCs w:val="24"/>
          </w:rPr>
          <w:t>Dasein</w:t>
        </w:r>
      </w:hyperlink>
      <w:r w:rsidRPr="00D36333">
        <w:rPr>
          <w:rFonts w:asciiTheme="minorHAnsi" w:hAnsiTheme="minorHAnsi" w:cstheme="minorHAnsi"/>
          <w:sz w:val="24"/>
          <w:szCs w:val="24"/>
        </w:rPr>
        <w:t xml:space="preserve"> des Menschen. „Sorge“ macht ihm sein Dasein erst bewusst. Er bestimmt Sorge – im Hinblick auf die drei Dimensionen der Zeit als „Sich-vorweg-sein – im Schon-sein-in-der Welt – als Sein bei innerweltlich begegnendem Seienden.“ In Bezug zu seiner Lebenswelt zeigt sie sich als „Besorgen“ (d.h. den faktischen Gebrauch der Dinge wahrnehmen), in Bezug zu seinen Mitmenschen als („einspringende“ oder „vorspringende“) </w:t>
      </w:r>
      <w:hyperlink r:id="rId20" w:tooltip="Fürsorge" w:history="1">
        <w:r w:rsidRPr="00D36333">
          <w:rPr>
            <w:rFonts w:asciiTheme="minorHAnsi" w:hAnsiTheme="minorHAnsi" w:cstheme="minorHAnsi"/>
            <w:sz w:val="24"/>
            <w:szCs w:val="24"/>
          </w:rPr>
          <w:t>Fürsorge</w:t>
        </w:r>
      </w:hyperlink>
      <w:r w:rsidRPr="00D36333">
        <w:rPr>
          <w:rFonts w:asciiTheme="minorHAnsi" w:hAnsiTheme="minorHAnsi" w:cstheme="minorHAnsi"/>
          <w:sz w:val="24"/>
          <w:szCs w:val="24"/>
        </w:rPr>
        <w:t>.</w:t>
      </w:r>
    </w:p>
    <w:p w:rsidR="003870D2" w:rsidRDefault="003870D2">
      <w:pPr>
        <w:pStyle w:val="Listenabsatz"/>
        <w:spacing w:after="0" w:line="240" w:lineRule="auto"/>
        <w:ind w:left="0"/>
        <w:contextualSpacing w:val="0"/>
        <w:jc w:val="both"/>
        <w:rPr>
          <w:rFonts w:asciiTheme="minorHAnsi" w:hAnsiTheme="minorHAnsi" w:cstheme="minorHAnsi"/>
          <w:sz w:val="24"/>
          <w:szCs w:val="24"/>
        </w:rPr>
      </w:pPr>
    </w:p>
    <w:p w:rsidR="003870D2" w:rsidRDefault="00115096">
      <w:pPr>
        <w:pStyle w:val="Listenabsatz"/>
        <w:spacing w:after="0" w:line="240" w:lineRule="auto"/>
        <w:ind w:left="0"/>
        <w:contextualSpacing w:val="0"/>
        <w:jc w:val="both"/>
        <w:rPr>
          <w:rFonts w:asciiTheme="minorHAnsi" w:hAnsiTheme="minorHAnsi" w:cstheme="minorHAnsi"/>
          <w:sz w:val="24"/>
          <w:szCs w:val="24"/>
        </w:rPr>
      </w:pPr>
      <w:hyperlink r:id="rId21" w:tooltip="Albert Camus" w:history="1">
        <w:r w:rsidR="00D36333" w:rsidRPr="00D36333">
          <w:rPr>
            <w:rFonts w:asciiTheme="minorHAnsi" w:hAnsiTheme="minorHAnsi" w:cstheme="minorHAnsi"/>
            <w:sz w:val="24"/>
            <w:szCs w:val="24"/>
          </w:rPr>
          <w:t>Albert Camus</w:t>
        </w:r>
      </w:hyperlink>
      <w:r w:rsidR="00D36333" w:rsidRPr="00D36333">
        <w:rPr>
          <w:rFonts w:asciiTheme="minorHAnsi" w:hAnsiTheme="minorHAnsi" w:cstheme="minorHAnsi"/>
          <w:sz w:val="24"/>
          <w:szCs w:val="24"/>
        </w:rPr>
        <w:t xml:space="preserve"> sieht die Existenz des Menschen als generelle Absurdität an, dennoch führt dies nicht zu einem naheliegenden </w:t>
      </w:r>
      <w:hyperlink r:id="rId22" w:tooltip="Nihilismus" w:history="1">
        <w:r w:rsidR="00D36333" w:rsidRPr="00D36333">
          <w:rPr>
            <w:rFonts w:asciiTheme="minorHAnsi" w:hAnsiTheme="minorHAnsi" w:cstheme="minorHAnsi"/>
            <w:sz w:val="24"/>
            <w:szCs w:val="24"/>
          </w:rPr>
          <w:t>Nihilismus</w:t>
        </w:r>
      </w:hyperlink>
      <w:r w:rsidR="00D36333" w:rsidRPr="00D36333">
        <w:rPr>
          <w:rFonts w:asciiTheme="minorHAnsi" w:hAnsiTheme="minorHAnsi" w:cstheme="minorHAnsi"/>
          <w:sz w:val="24"/>
          <w:szCs w:val="24"/>
        </w:rPr>
        <w:t xml:space="preserve">, sondern nach Auffassung von Camus zur Sorge um das Glück des Nächsten und zum opferbereiten Einsatz für andere, gleichbedeutend mit menschlicher </w:t>
      </w:r>
      <w:hyperlink r:id="rId23" w:tooltip="Solidarität" w:history="1">
        <w:r w:rsidR="00D36333" w:rsidRPr="00D36333">
          <w:rPr>
            <w:rFonts w:asciiTheme="minorHAnsi" w:hAnsiTheme="minorHAnsi" w:cstheme="minorHAnsi"/>
            <w:sz w:val="24"/>
            <w:szCs w:val="24"/>
          </w:rPr>
          <w:t>Solidarität</w:t>
        </w:r>
      </w:hyperlink>
      <w:r w:rsidR="00D36333" w:rsidRPr="00D36333">
        <w:rPr>
          <w:rFonts w:asciiTheme="minorHAnsi" w:hAnsiTheme="minorHAnsi" w:cstheme="minorHAnsi"/>
          <w:sz w:val="24"/>
          <w:szCs w:val="24"/>
        </w:rPr>
        <w:t xml:space="preserve">. „Die einfache ‚Sorge‘ ist aller Dinge Anfang.“ </w:t>
      </w:r>
    </w:p>
    <w:p w:rsidR="003870D2" w:rsidRDefault="003870D2">
      <w:pPr>
        <w:spacing w:after="0" w:line="240" w:lineRule="auto"/>
        <w:jc w:val="both"/>
        <w:rPr>
          <w:rFonts w:asciiTheme="minorHAnsi" w:hAnsiTheme="minorHAnsi" w:cstheme="minorHAnsi"/>
          <w:sz w:val="24"/>
          <w:szCs w:val="24"/>
        </w:rPr>
      </w:pPr>
    </w:p>
    <w:p w:rsidR="003870D2" w:rsidRDefault="00D36333">
      <w:pPr>
        <w:spacing w:after="0" w:line="240" w:lineRule="auto"/>
        <w:jc w:val="both"/>
        <w:rPr>
          <w:rFonts w:asciiTheme="minorHAnsi" w:hAnsiTheme="minorHAnsi" w:cstheme="minorHAnsi"/>
          <w:b/>
          <w:sz w:val="24"/>
          <w:szCs w:val="24"/>
        </w:rPr>
      </w:pPr>
      <w:r w:rsidRPr="00D36333">
        <w:rPr>
          <w:rFonts w:asciiTheme="minorHAnsi" w:hAnsiTheme="minorHAnsi" w:cstheme="minorHAnsi"/>
          <w:b/>
          <w:sz w:val="24"/>
          <w:szCs w:val="24"/>
        </w:rPr>
        <w:t>Der Begriff Sorge in einer Dokumentation zum Fachgespräch Sorgende Gemeinschaften – Vom Leitbild zu Handlungsansätzen am 16. Dezember 2013, Frankfurt am Main</w:t>
      </w:r>
    </w:p>
    <w:p w:rsidR="003870D2" w:rsidRDefault="003870D2">
      <w:pPr>
        <w:pStyle w:val="Listenabsatz"/>
        <w:spacing w:after="0" w:line="240" w:lineRule="auto"/>
        <w:ind w:left="0"/>
        <w:contextualSpacing w:val="0"/>
        <w:jc w:val="both"/>
        <w:rPr>
          <w:rFonts w:asciiTheme="minorHAnsi" w:hAnsiTheme="minorHAnsi" w:cstheme="minorHAnsi"/>
          <w:sz w:val="24"/>
          <w:szCs w:val="24"/>
        </w:rPr>
      </w:pPr>
    </w:p>
    <w:p w:rsidR="003870D2" w:rsidRDefault="00D36333">
      <w:pPr>
        <w:pStyle w:val="Listenabsatz"/>
        <w:spacing w:after="0" w:line="240" w:lineRule="auto"/>
        <w:ind w:left="0"/>
        <w:contextualSpacing w:val="0"/>
        <w:jc w:val="both"/>
        <w:rPr>
          <w:rFonts w:asciiTheme="minorHAnsi" w:hAnsiTheme="minorHAnsi" w:cstheme="minorHAnsi"/>
          <w:sz w:val="24"/>
          <w:szCs w:val="24"/>
        </w:rPr>
      </w:pPr>
      <w:r w:rsidRPr="00D36333">
        <w:rPr>
          <w:rFonts w:asciiTheme="minorHAnsi" w:hAnsiTheme="minorHAnsi" w:cstheme="minorHAnsi"/>
          <w:sz w:val="24"/>
          <w:szCs w:val="24"/>
        </w:rPr>
        <w:t xml:space="preserve">Wenden wir uns dem Begriff der Sorge zu, so mag dieser, </w:t>
      </w:r>
      <w:r w:rsidR="004008BB">
        <w:rPr>
          <w:rFonts w:asciiTheme="minorHAnsi" w:hAnsiTheme="minorHAnsi" w:cstheme="minorHAnsi"/>
          <w:sz w:val="24"/>
          <w:szCs w:val="24"/>
        </w:rPr>
        <w:t>[</w:t>
      </w:r>
      <w:r w:rsidRPr="00D36333">
        <w:rPr>
          <w:rFonts w:asciiTheme="minorHAnsi" w:hAnsiTheme="minorHAnsi" w:cstheme="minorHAnsi"/>
          <w:sz w:val="24"/>
          <w:szCs w:val="24"/>
        </w:rPr>
        <w:t>…</w:t>
      </w:r>
      <w:r w:rsidR="004008BB">
        <w:rPr>
          <w:rFonts w:asciiTheme="minorHAnsi" w:hAnsiTheme="minorHAnsi" w:cstheme="minorHAnsi"/>
          <w:sz w:val="24"/>
          <w:szCs w:val="24"/>
        </w:rPr>
        <w:t>]</w:t>
      </w:r>
      <w:r w:rsidRPr="00D36333">
        <w:rPr>
          <w:rFonts w:asciiTheme="minorHAnsi" w:hAnsiTheme="minorHAnsi" w:cstheme="minorHAnsi"/>
          <w:sz w:val="24"/>
          <w:szCs w:val="24"/>
        </w:rPr>
        <w:t xml:space="preserve"> manche</w:t>
      </w:r>
      <w:r w:rsidR="004008BB">
        <w:rPr>
          <w:rFonts w:asciiTheme="minorHAnsi" w:hAnsiTheme="minorHAnsi" w:cstheme="minorHAnsi"/>
          <w:sz w:val="24"/>
          <w:szCs w:val="24"/>
        </w:rPr>
        <w:t>m</w:t>
      </w:r>
      <w:r w:rsidRPr="00D36333">
        <w:rPr>
          <w:rFonts w:asciiTheme="minorHAnsi" w:hAnsiTheme="minorHAnsi" w:cstheme="minorHAnsi"/>
          <w:sz w:val="24"/>
          <w:szCs w:val="24"/>
        </w:rPr>
        <w:t xml:space="preserve"> betulich und altmodisch erscheinen. Andere reagieren geradezu </w:t>
      </w:r>
      <w:proofErr w:type="spellStart"/>
      <w:r w:rsidRPr="00D36333">
        <w:rPr>
          <w:rFonts w:asciiTheme="minorHAnsi" w:hAnsiTheme="minorHAnsi" w:cstheme="minorHAnsi"/>
          <w:sz w:val="24"/>
          <w:szCs w:val="24"/>
        </w:rPr>
        <w:t>aversiv</w:t>
      </w:r>
      <w:proofErr w:type="spellEnd"/>
      <w:r w:rsidRPr="00D36333">
        <w:rPr>
          <w:rFonts w:asciiTheme="minorHAnsi" w:hAnsiTheme="minorHAnsi" w:cstheme="minorHAnsi"/>
          <w:sz w:val="24"/>
          <w:szCs w:val="24"/>
        </w:rPr>
        <w:t xml:space="preserve"> auf diesen semantischen „Rückschritt“ in Richtung </w:t>
      </w:r>
      <w:proofErr w:type="spellStart"/>
      <w:r w:rsidRPr="00D36333">
        <w:rPr>
          <w:rFonts w:asciiTheme="minorHAnsi" w:hAnsiTheme="minorHAnsi" w:cstheme="minorHAnsi"/>
          <w:sz w:val="24"/>
          <w:szCs w:val="24"/>
        </w:rPr>
        <w:t>Familiarismus</w:t>
      </w:r>
      <w:proofErr w:type="spellEnd"/>
      <w:r w:rsidRPr="00D36333">
        <w:rPr>
          <w:rFonts w:asciiTheme="minorHAnsi" w:hAnsiTheme="minorHAnsi" w:cstheme="minorHAnsi"/>
          <w:sz w:val="24"/>
          <w:szCs w:val="24"/>
        </w:rPr>
        <w:t xml:space="preserve">, </w:t>
      </w:r>
      <w:proofErr w:type="spellStart"/>
      <w:r w:rsidRPr="00D36333">
        <w:rPr>
          <w:rFonts w:asciiTheme="minorHAnsi" w:hAnsiTheme="minorHAnsi" w:cstheme="minorHAnsi"/>
          <w:sz w:val="24"/>
          <w:szCs w:val="24"/>
        </w:rPr>
        <w:t>Deprofessionalisierung</w:t>
      </w:r>
      <w:proofErr w:type="spellEnd"/>
      <w:r w:rsidRPr="00D36333">
        <w:rPr>
          <w:rFonts w:asciiTheme="minorHAnsi" w:hAnsiTheme="minorHAnsi" w:cstheme="minorHAnsi"/>
          <w:sz w:val="24"/>
          <w:szCs w:val="24"/>
        </w:rPr>
        <w:t xml:space="preserve"> und Romantisierung gegenseitiger Solidarität. Konnotiert ist der Sorgebegriff auch in Deutschland mit einem patriarchalen und autoritären Fürsorgeverständnis, das lange Zeit prägend war. Nun kommt dem Begriff der Sorge neue Aktualität zu. Ich umschreibe Sorge gerne als vorausschauende</w:t>
      </w:r>
      <w:r w:rsidR="004008BB">
        <w:rPr>
          <w:rFonts w:asciiTheme="minorHAnsi" w:hAnsiTheme="minorHAnsi" w:cstheme="minorHAnsi"/>
          <w:sz w:val="24"/>
          <w:szCs w:val="24"/>
        </w:rPr>
        <w:t>,</w:t>
      </w:r>
      <w:r w:rsidRPr="00D36333">
        <w:rPr>
          <w:rFonts w:asciiTheme="minorHAnsi" w:hAnsiTheme="minorHAnsi" w:cstheme="minorHAnsi"/>
          <w:sz w:val="24"/>
          <w:szCs w:val="24"/>
        </w:rPr>
        <w:t xml:space="preserve"> anteilnehmende Verantwortungsübernahme für sich selbst und andere. </w:t>
      </w:r>
      <w:r w:rsidR="004008BB">
        <w:rPr>
          <w:rFonts w:asciiTheme="minorHAnsi" w:hAnsiTheme="minorHAnsi" w:cstheme="minorHAnsi"/>
          <w:sz w:val="24"/>
          <w:szCs w:val="24"/>
        </w:rPr>
        <w:t>[</w:t>
      </w:r>
      <w:r w:rsidRPr="00D36333">
        <w:rPr>
          <w:rFonts w:asciiTheme="minorHAnsi" w:hAnsiTheme="minorHAnsi" w:cstheme="minorHAnsi"/>
          <w:sz w:val="24"/>
          <w:szCs w:val="24"/>
        </w:rPr>
        <w:t>…</w:t>
      </w:r>
      <w:r w:rsidR="004008BB">
        <w:rPr>
          <w:rFonts w:asciiTheme="minorHAnsi" w:hAnsiTheme="minorHAnsi" w:cstheme="minorHAnsi"/>
          <w:sz w:val="24"/>
          <w:szCs w:val="24"/>
        </w:rPr>
        <w:t>]</w:t>
      </w:r>
      <w:r w:rsidRPr="00D36333">
        <w:rPr>
          <w:rFonts w:asciiTheme="minorHAnsi" w:hAnsiTheme="minorHAnsi" w:cstheme="minorHAnsi"/>
          <w:sz w:val="24"/>
          <w:szCs w:val="24"/>
        </w:rPr>
        <w:t>.</w:t>
      </w:r>
    </w:p>
    <w:p w:rsidR="003870D2" w:rsidRDefault="003870D2">
      <w:pPr>
        <w:pStyle w:val="Listenabsatz"/>
        <w:spacing w:after="0" w:line="240" w:lineRule="auto"/>
        <w:ind w:left="0"/>
        <w:contextualSpacing w:val="0"/>
        <w:jc w:val="both"/>
        <w:rPr>
          <w:rFonts w:asciiTheme="minorHAnsi" w:hAnsiTheme="minorHAnsi" w:cstheme="minorHAnsi"/>
          <w:sz w:val="24"/>
          <w:szCs w:val="24"/>
        </w:rPr>
      </w:pPr>
    </w:p>
    <w:p w:rsidR="003870D2" w:rsidRDefault="00D36333">
      <w:pPr>
        <w:pStyle w:val="Listenabsatz"/>
        <w:spacing w:after="0" w:line="240" w:lineRule="auto"/>
        <w:ind w:left="0"/>
        <w:contextualSpacing w:val="0"/>
        <w:jc w:val="both"/>
        <w:rPr>
          <w:rFonts w:asciiTheme="minorHAnsi" w:hAnsiTheme="minorHAnsi" w:cstheme="minorHAnsi"/>
          <w:sz w:val="24"/>
          <w:szCs w:val="24"/>
        </w:rPr>
      </w:pPr>
      <w:r w:rsidRPr="00D36333">
        <w:rPr>
          <w:rFonts w:asciiTheme="minorHAnsi" w:hAnsiTheme="minorHAnsi" w:cstheme="minorHAnsi"/>
          <w:sz w:val="24"/>
          <w:szCs w:val="24"/>
        </w:rPr>
        <w:lastRenderedPageBreak/>
        <w:t xml:space="preserve">Die Wiederentdeckung der „Sorge“ im zivilgesellschaftlichen und politischen Diskurs kann wichtige </w:t>
      </w:r>
      <w:proofErr w:type="spellStart"/>
      <w:r w:rsidRPr="00D36333">
        <w:rPr>
          <w:rFonts w:asciiTheme="minorHAnsi" w:hAnsiTheme="minorHAnsi" w:cstheme="minorHAnsi"/>
          <w:sz w:val="24"/>
          <w:szCs w:val="24"/>
        </w:rPr>
        <w:t>Reflektionsprozesse</w:t>
      </w:r>
      <w:proofErr w:type="spellEnd"/>
      <w:r w:rsidRPr="00D36333">
        <w:rPr>
          <w:rFonts w:asciiTheme="minorHAnsi" w:hAnsiTheme="minorHAnsi" w:cstheme="minorHAnsi"/>
          <w:sz w:val="24"/>
          <w:szCs w:val="24"/>
        </w:rPr>
        <w:t xml:space="preserve"> anstoßen. Hierin liegt die Irritationsqualität des Begriffs, die ihn sympathisch macht.</w:t>
      </w:r>
    </w:p>
    <w:p w:rsidR="003870D2" w:rsidRDefault="003870D2">
      <w:pPr>
        <w:spacing w:after="0" w:line="240" w:lineRule="auto"/>
        <w:jc w:val="both"/>
        <w:rPr>
          <w:rFonts w:asciiTheme="minorHAnsi" w:hAnsiTheme="minorHAnsi" w:cstheme="minorHAnsi"/>
          <w:sz w:val="24"/>
          <w:szCs w:val="24"/>
        </w:rPr>
      </w:pPr>
    </w:p>
    <w:p w:rsidR="003870D2" w:rsidRDefault="00D36333">
      <w:pPr>
        <w:spacing w:after="0" w:line="240" w:lineRule="auto"/>
        <w:jc w:val="both"/>
        <w:rPr>
          <w:rFonts w:asciiTheme="minorHAnsi" w:hAnsiTheme="minorHAnsi" w:cstheme="minorHAnsi"/>
          <w:b/>
          <w:sz w:val="24"/>
          <w:szCs w:val="24"/>
        </w:rPr>
      </w:pPr>
      <w:r w:rsidRPr="00D36333">
        <w:rPr>
          <w:rFonts w:asciiTheme="minorHAnsi" w:hAnsiTheme="minorHAnsi" w:cstheme="minorHAnsi"/>
          <w:b/>
          <w:sz w:val="24"/>
          <w:szCs w:val="24"/>
        </w:rPr>
        <w:t>Der Begriff Sorge im Positionspapier</w:t>
      </w:r>
      <w:r w:rsidR="00673441">
        <w:rPr>
          <w:rFonts w:asciiTheme="minorHAnsi" w:hAnsiTheme="minorHAnsi" w:cstheme="minorHAnsi"/>
          <w:b/>
          <w:sz w:val="24"/>
          <w:szCs w:val="24"/>
        </w:rPr>
        <w:t xml:space="preserve"> der EAfA zum Siebten Altenbericht</w:t>
      </w:r>
      <w:bookmarkStart w:id="0" w:name="_GoBack"/>
      <w:bookmarkEnd w:id="0"/>
      <w:r w:rsidRPr="00D36333">
        <w:rPr>
          <w:rFonts w:asciiTheme="minorHAnsi" w:hAnsiTheme="minorHAnsi" w:cstheme="minorHAnsi"/>
          <w:b/>
          <w:sz w:val="24"/>
          <w:szCs w:val="24"/>
        </w:rPr>
        <w:t xml:space="preserve"> </w:t>
      </w:r>
    </w:p>
    <w:p w:rsidR="003870D2" w:rsidRDefault="003870D2">
      <w:pPr>
        <w:pStyle w:val="Listenabsatz"/>
        <w:spacing w:after="0" w:line="240" w:lineRule="auto"/>
        <w:ind w:left="0"/>
        <w:contextualSpacing w:val="0"/>
        <w:jc w:val="both"/>
        <w:rPr>
          <w:rFonts w:asciiTheme="minorHAnsi" w:hAnsiTheme="minorHAnsi" w:cstheme="minorHAnsi"/>
          <w:sz w:val="24"/>
          <w:szCs w:val="24"/>
        </w:rPr>
      </w:pPr>
    </w:p>
    <w:p w:rsidR="003870D2" w:rsidRDefault="00D36333">
      <w:pPr>
        <w:pStyle w:val="Listenabsatz"/>
        <w:spacing w:after="0" w:line="240" w:lineRule="auto"/>
        <w:ind w:left="0"/>
        <w:contextualSpacing w:val="0"/>
        <w:jc w:val="both"/>
        <w:rPr>
          <w:rFonts w:asciiTheme="minorHAnsi" w:hAnsiTheme="minorHAnsi" w:cstheme="minorHAnsi"/>
          <w:sz w:val="24"/>
          <w:szCs w:val="24"/>
        </w:rPr>
      </w:pPr>
      <w:r w:rsidRPr="00D36333">
        <w:rPr>
          <w:rFonts w:asciiTheme="minorHAnsi" w:hAnsiTheme="minorHAnsi" w:cstheme="minorHAnsi"/>
          <w:sz w:val="24"/>
          <w:szCs w:val="24"/>
        </w:rPr>
        <w:t>Sorge und Mitverantwortung für die Nächsten sind ein zentraler Auftrag der christlichen Gemeinde und ergeben sich aus der christlichen Botschaft. Die Bibel beschreibt den Menschen als ein zur Gemeinschaft bestimmtes Wesen, das von der Geburt bis zum Tod in Beziehungen lebt. Der Mensch ist auf andere angewiesen und wird erst am Du zum Ich.</w:t>
      </w:r>
    </w:p>
    <w:p w:rsidR="003870D2" w:rsidRDefault="003870D2">
      <w:pPr>
        <w:pStyle w:val="Listenabsatz"/>
        <w:spacing w:after="0" w:line="240" w:lineRule="auto"/>
        <w:ind w:left="0"/>
        <w:contextualSpacing w:val="0"/>
        <w:jc w:val="both"/>
        <w:rPr>
          <w:rFonts w:asciiTheme="minorHAnsi" w:hAnsiTheme="minorHAnsi" w:cstheme="minorHAnsi"/>
          <w:sz w:val="24"/>
          <w:szCs w:val="24"/>
        </w:rPr>
      </w:pPr>
    </w:p>
    <w:p w:rsidR="003870D2" w:rsidRDefault="00D36333">
      <w:pPr>
        <w:pStyle w:val="Listenabsatz"/>
        <w:spacing w:after="0" w:line="240" w:lineRule="auto"/>
        <w:ind w:left="0"/>
        <w:contextualSpacing w:val="0"/>
        <w:jc w:val="both"/>
        <w:rPr>
          <w:rFonts w:asciiTheme="minorHAnsi" w:hAnsiTheme="minorHAnsi" w:cstheme="minorHAnsi"/>
          <w:sz w:val="24"/>
          <w:szCs w:val="24"/>
          <w:lang w:val="en-US"/>
        </w:rPr>
      </w:pPr>
      <w:r w:rsidRPr="00D36333">
        <w:rPr>
          <w:rFonts w:asciiTheme="minorHAnsi" w:hAnsiTheme="minorHAnsi" w:cstheme="minorHAnsi"/>
          <w:sz w:val="24"/>
          <w:szCs w:val="24"/>
        </w:rPr>
        <w:t xml:space="preserve">Sorgende Gemeinschaften sind nach christlichem Verständnis die Basis der Mitmenschlichkeit. „Niemand von uns lebt für sich selbst, niemand stirbt für sich selbst.“ </w:t>
      </w:r>
      <w:r w:rsidRPr="00D36333">
        <w:rPr>
          <w:rFonts w:asciiTheme="minorHAnsi" w:hAnsiTheme="minorHAnsi" w:cstheme="minorHAnsi"/>
          <w:sz w:val="24"/>
          <w:szCs w:val="24"/>
          <w:lang w:val="en-US"/>
        </w:rPr>
        <w:t>(</w:t>
      </w:r>
      <w:proofErr w:type="spellStart"/>
      <w:r w:rsidRPr="00D36333">
        <w:rPr>
          <w:rFonts w:asciiTheme="minorHAnsi" w:hAnsiTheme="minorHAnsi" w:cstheme="minorHAnsi"/>
          <w:sz w:val="24"/>
          <w:szCs w:val="24"/>
          <w:lang w:val="en-US"/>
        </w:rPr>
        <w:t>Röm</w:t>
      </w:r>
      <w:proofErr w:type="spellEnd"/>
      <w:r w:rsidRPr="00D36333">
        <w:rPr>
          <w:rFonts w:asciiTheme="minorHAnsi" w:hAnsiTheme="minorHAnsi" w:cstheme="minorHAnsi"/>
          <w:sz w:val="24"/>
          <w:szCs w:val="24"/>
          <w:lang w:val="en-US"/>
        </w:rPr>
        <w:t xml:space="preserve"> 14</w:t>
      </w:r>
      <w:proofErr w:type="gramStart"/>
      <w:r w:rsidRPr="00D36333">
        <w:rPr>
          <w:rFonts w:asciiTheme="minorHAnsi" w:hAnsiTheme="minorHAnsi" w:cstheme="minorHAnsi"/>
          <w:sz w:val="24"/>
          <w:szCs w:val="24"/>
          <w:lang w:val="en-US"/>
        </w:rPr>
        <w:t>,7</w:t>
      </w:r>
      <w:proofErr w:type="gramEnd"/>
      <w:r w:rsidRPr="00D36333">
        <w:rPr>
          <w:rFonts w:asciiTheme="minorHAnsi" w:hAnsiTheme="minorHAnsi" w:cstheme="minorHAnsi"/>
          <w:sz w:val="24"/>
          <w:szCs w:val="24"/>
          <w:lang w:val="en-US"/>
        </w:rPr>
        <w:t>)</w:t>
      </w:r>
    </w:p>
    <w:p w:rsidR="003870D2" w:rsidRDefault="003870D2">
      <w:pPr>
        <w:tabs>
          <w:tab w:val="left" w:pos="1418"/>
        </w:tabs>
        <w:spacing w:after="0" w:line="240" w:lineRule="auto"/>
        <w:jc w:val="both"/>
        <w:rPr>
          <w:rFonts w:asciiTheme="minorHAnsi" w:eastAsia="Times New Roman" w:hAnsiTheme="minorHAnsi" w:cstheme="minorHAnsi"/>
          <w:sz w:val="24"/>
          <w:szCs w:val="24"/>
          <w:lang w:val="en-US" w:eastAsia="de-DE"/>
        </w:rPr>
      </w:pPr>
    </w:p>
    <w:p w:rsidR="003870D2" w:rsidRDefault="003870D2">
      <w:pPr>
        <w:tabs>
          <w:tab w:val="left" w:pos="1418"/>
        </w:tabs>
        <w:spacing w:after="0" w:line="240" w:lineRule="auto"/>
        <w:jc w:val="both"/>
        <w:rPr>
          <w:rFonts w:asciiTheme="minorHAnsi" w:eastAsia="Times New Roman" w:hAnsiTheme="minorHAnsi" w:cstheme="minorHAnsi"/>
          <w:sz w:val="24"/>
          <w:szCs w:val="24"/>
          <w:lang w:val="en-US" w:eastAsia="de-DE"/>
        </w:rPr>
      </w:pPr>
    </w:p>
    <w:p w:rsidR="003870D2" w:rsidRDefault="00D36333">
      <w:pPr>
        <w:tabs>
          <w:tab w:val="left" w:pos="1418"/>
        </w:tabs>
        <w:spacing w:after="0" w:line="240" w:lineRule="auto"/>
        <w:jc w:val="both"/>
        <w:rPr>
          <w:rFonts w:asciiTheme="minorHAnsi" w:eastAsia="Times New Roman" w:hAnsiTheme="minorHAnsi" w:cstheme="minorHAnsi"/>
          <w:sz w:val="24"/>
          <w:szCs w:val="24"/>
          <w:lang w:val="en-US" w:eastAsia="de-DE"/>
        </w:rPr>
      </w:pPr>
      <w:r w:rsidRPr="00D36333">
        <w:rPr>
          <w:rFonts w:asciiTheme="minorHAnsi" w:eastAsia="Times New Roman" w:hAnsiTheme="minorHAnsi" w:cstheme="minorHAnsi"/>
          <w:b/>
          <w:bCs/>
          <w:iCs/>
          <w:sz w:val="24"/>
          <w:szCs w:val="24"/>
          <w:lang w:val="en-US" w:eastAsia="de-DE"/>
        </w:rPr>
        <w:t xml:space="preserve">Der </w:t>
      </w:r>
      <w:proofErr w:type="spellStart"/>
      <w:r w:rsidRPr="00D36333">
        <w:rPr>
          <w:rFonts w:asciiTheme="minorHAnsi" w:eastAsia="Times New Roman" w:hAnsiTheme="minorHAnsi" w:cstheme="minorHAnsi"/>
          <w:b/>
          <w:bCs/>
          <w:iCs/>
          <w:sz w:val="24"/>
          <w:szCs w:val="24"/>
          <w:lang w:val="en-US" w:eastAsia="de-DE"/>
        </w:rPr>
        <w:t>Begriff</w:t>
      </w:r>
      <w:proofErr w:type="spellEnd"/>
      <w:r w:rsidRPr="00D36333">
        <w:rPr>
          <w:rFonts w:asciiTheme="minorHAnsi" w:eastAsia="Times New Roman" w:hAnsiTheme="minorHAnsi" w:cstheme="minorHAnsi"/>
          <w:b/>
          <w:bCs/>
          <w:iCs/>
          <w:sz w:val="24"/>
          <w:szCs w:val="24"/>
          <w:lang w:val="en-US" w:eastAsia="de-DE"/>
        </w:rPr>
        <w:t xml:space="preserve"> </w:t>
      </w:r>
      <w:proofErr w:type="spellStart"/>
      <w:r w:rsidRPr="00D36333">
        <w:rPr>
          <w:rFonts w:asciiTheme="minorHAnsi" w:eastAsia="Times New Roman" w:hAnsiTheme="minorHAnsi" w:cstheme="minorHAnsi"/>
          <w:b/>
          <w:bCs/>
          <w:iCs/>
          <w:sz w:val="24"/>
          <w:szCs w:val="24"/>
          <w:lang w:val="en-US" w:eastAsia="de-DE"/>
        </w:rPr>
        <w:t>Sorge</w:t>
      </w:r>
      <w:proofErr w:type="spellEnd"/>
      <w:r w:rsidRPr="00D36333">
        <w:rPr>
          <w:rFonts w:asciiTheme="minorHAnsi" w:eastAsia="Times New Roman" w:hAnsiTheme="minorHAnsi" w:cstheme="minorHAnsi"/>
          <w:b/>
          <w:bCs/>
          <w:iCs/>
          <w:sz w:val="24"/>
          <w:szCs w:val="24"/>
          <w:lang w:val="en-US" w:eastAsia="de-DE"/>
        </w:rPr>
        <w:t xml:space="preserve">: Joan C. </w:t>
      </w:r>
      <w:proofErr w:type="spellStart"/>
      <w:r w:rsidRPr="00D36333">
        <w:rPr>
          <w:rFonts w:asciiTheme="minorHAnsi" w:eastAsia="Times New Roman" w:hAnsiTheme="minorHAnsi" w:cstheme="minorHAnsi"/>
          <w:b/>
          <w:bCs/>
          <w:iCs/>
          <w:sz w:val="24"/>
          <w:szCs w:val="24"/>
          <w:lang w:val="en-US" w:eastAsia="de-DE"/>
        </w:rPr>
        <w:t>Tronto</w:t>
      </w:r>
      <w:proofErr w:type="spellEnd"/>
      <w:r w:rsidRPr="00D36333">
        <w:rPr>
          <w:rFonts w:asciiTheme="minorHAnsi" w:eastAsia="Times New Roman" w:hAnsiTheme="minorHAnsi" w:cstheme="minorHAnsi"/>
          <w:b/>
          <w:bCs/>
          <w:iCs/>
          <w:sz w:val="24"/>
          <w:szCs w:val="24"/>
          <w:lang w:val="en-US" w:eastAsia="de-DE"/>
        </w:rPr>
        <w:t xml:space="preserve">: Caring Democracy. </w:t>
      </w:r>
      <w:proofErr w:type="gramStart"/>
      <w:r w:rsidRPr="00D36333">
        <w:rPr>
          <w:rFonts w:asciiTheme="minorHAnsi" w:eastAsia="Times New Roman" w:hAnsiTheme="minorHAnsi" w:cstheme="minorHAnsi"/>
          <w:b/>
          <w:bCs/>
          <w:iCs/>
          <w:sz w:val="24"/>
          <w:szCs w:val="24"/>
          <w:lang w:val="en-US" w:eastAsia="de-DE"/>
        </w:rPr>
        <w:t>NY University Press 2013</w:t>
      </w:r>
      <w:r w:rsidR="004008BB">
        <w:rPr>
          <w:rFonts w:asciiTheme="minorHAnsi" w:eastAsia="Times New Roman" w:hAnsiTheme="minorHAnsi" w:cstheme="minorHAnsi"/>
          <w:b/>
          <w:bCs/>
          <w:iCs/>
          <w:sz w:val="24"/>
          <w:szCs w:val="24"/>
          <w:lang w:val="en-US" w:eastAsia="de-DE"/>
        </w:rPr>
        <w:t>.</w:t>
      </w:r>
      <w:proofErr w:type="gramEnd"/>
      <w:r w:rsidRPr="00D36333">
        <w:rPr>
          <w:rFonts w:asciiTheme="minorHAnsi" w:eastAsia="Times New Roman" w:hAnsiTheme="minorHAnsi" w:cstheme="minorHAnsi"/>
          <w:sz w:val="24"/>
          <w:szCs w:val="24"/>
          <w:lang w:val="en-US" w:eastAsia="de-DE"/>
        </w:rPr>
        <w:t xml:space="preserve"> </w:t>
      </w:r>
    </w:p>
    <w:p w:rsidR="003870D2" w:rsidRDefault="003870D2">
      <w:pPr>
        <w:tabs>
          <w:tab w:val="left" w:pos="1418"/>
        </w:tabs>
        <w:spacing w:after="0" w:line="240" w:lineRule="auto"/>
        <w:jc w:val="both"/>
        <w:rPr>
          <w:rFonts w:asciiTheme="minorHAnsi" w:eastAsia="Times New Roman" w:hAnsiTheme="minorHAnsi" w:cstheme="minorHAnsi"/>
          <w:sz w:val="24"/>
          <w:szCs w:val="24"/>
          <w:lang w:val="en-US" w:eastAsia="de-DE"/>
        </w:rPr>
      </w:pPr>
    </w:p>
    <w:p w:rsidR="003870D2" w:rsidRDefault="004008BB">
      <w:pPr>
        <w:tabs>
          <w:tab w:val="left" w:pos="1418"/>
        </w:tabs>
        <w:spacing w:after="0" w:line="240" w:lineRule="auto"/>
        <w:jc w:val="both"/>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w:t>
      </w:r>
      <w:r w:rsidR="00D36333" w:rsidRPr="00D36333">
        <w:rPr>
          <w:rFonts w:asciiTheme="minorHAnsi" w:eastAsia="Times New Roman" w:hAnsiTheme="minorHAnsi" w:cstheme="minorHAnsi"/>
          <w:sz w:val="24"/>
          <w:szCs w:val="24"/>
          <w:lang w:eastAsia="de-DE"/>
        </w:rPr>
        <w:t>Sorgen (</w:t>
      </w:r>
      <w:proofErr w:type="spellStart"/>
      <w:r w:rsidR="00D36333" w:rsidRPr="00D36333">
        <w:rPr>
          <w:rFonts w:asciiTheme="minorHAnsi" w:eastAsia="Times New Roman" w:hAnsiTheme="minorHAnsi" w:cstheme="minorHAnsi"/>
          <w:sz w:val="24"/>
          <w:szCs w:val="24"/>
          <w:lang w:eastAsia="de-DE"/>
        </w:rPr>
        <w:t>caring</w:t>
      </w:r>
      <w:proofErr w:type="spellEnd"/>
      <w:r w:rsidR="00D36333" w:rsidRPr="00D36333">
        <w:rPr>
          <w:rFonts w:asciiTheme="minorHAnsi" w:eastAsia="Times New Roman" w:hAnsiTheme="minorHAnsi" w:cstheme="minorHAnsi"/>
          <w:sz w:val="24"/>
          <w:szCs w:val="24"/>
          <w:lang w:eastAsia="de-DE"/>
        </w:rPr>
        <w:t>) ist die Aktivität, die alles umfasst, was wir tun, um unsere ‚Welt‘ zu erhalten, fortbestehen zu lassen und zu reparieren, so dass wir in ihr so gut wie möglich leben können.“</w:t>
      </w:r>
    </w:p>
    <w:p w:rsidR="003870D2" w:rsidRDefault="003870D2">
      <w:pPr>
        <w:tabs>
          <w:tab w:val="left" w:pos="1418"/>
        </w:tabs>
        <w:spacing w:after="0" w:line="240" w:lineRule="auto"/>
        <w:jc w:val="both"/>
        <w:rPr>
          <w:rFonts w:asciiTheme="minorHAnsi" w:eastAsia="Times New Roman" w:hAnsiTheme="minorHAnsi" w:cstheme="minorHAnsi"/>
          <w:sz w:val="24"/>
          <w:szCs w:val="24"/>
          <w:lang w:eastAsia="de-DE"/>
        </w:rPr>
      </w:pPr>
    </w:p>
    <w:sectPr w:rsidR="003870D2" w:rsidSect="002A3ADE">
      <w:headerReference w:type="even" r:id="rId24"/>
      <w:headerReference w:type="default" r:id="rId25"/>
      <w:footerReference w:type="even" r:id="rId26"/>
      <w:footerReference w:type="default" r:id="rId27"/>
      <w:headerReference w:type="first" r:id="rId28"/>
      <w:footerReference w:type="first" r:id="rId29"/>
      <w:pgSz w:w="11906" w:h="16838"/>
      <w:pgMar w:top="1417" w:right="1134"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2CB884" w15:done="0"/>
  <w15:commentEx w15:paraId="5AAF8C00" w15:done="0"/>
  <w15:commentEx w15:paraId="1B9AB3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1A" w:rsidRDefault="00E5231A" w:rsidP="00E5231A">
      <w:pPr>
        <w:spacing w:after="0" w:line="240" w:lineRule="auto"/>
      </w:pPr>
      <w:r>
        <w:separator/>
      </w:r>
    </w:p>
  </w:endnote>
  <w:endnote w:type="continuationSeparator" w:id="0">
    <w:p w:rsidR="00E5231A" w:rsidRDefault="00E5231A" w:rsidP="00E52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tisSemi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1A" w:rsidRDefault="00E5231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1A" w:rsidRDefault="00FF6B06" w:rsidP="00FF6B06">
    <w:pPr>
      <w:pStyle w:val="Fuzeile"/>
      <w:jc w:val="center"/>
    </w:pPr>
    <w:r w:rsidRPr="00FF6B06">
      <w:drawing>
        <wp:inline distT="0" distB="0" distL="0" distR="0">
          <wp:extent cx="1438275" cy="619125"/>
          <wp:effectExtent l="19050" t="0" r="9525" b="0"/>
          <wp:docPr id="1" name="Bild 1" descr="cid:24E0E1EF-92C7-4BD1-9AE0-59B37565CE1B@multi.box"/>
          <wp:cNvGraphicFramePr/>
          <a:graphic xmlns:a="http://schemas.openxmlformats.org/drawingml/2006/main">
            <a:graphicData uri="http://schemas.openxmlformats.org/drawingml/2006/picture">
              <pic:pic xmlns:pic="http://schemas.openxmlformats.org/drawingml/2006/picture">
                <pic:nvPicPr>
                  <pic:cNvPr id="0" name="C78ACDB4-C3FF-4129-8823-E56CE122BD95" descr="cid:24E0E1EF-92C7-4BD1-9AE0-59B37565CE1B@multi.box"/>
                  <pic:cNvPicPr>
                    <a:picLocks noChangeAspect="1" noChangeArrowheads="1"/>
                  </pic:cNvPicPr>
                </pic:nvPicPr>
                <pic:blipFill>
                  <a:blip r:embed="rId1" r:link="rId2"/>
                  <a:srcRect/>
                  <a:stretch>
                    <a:fillRect/>
                  </a:stretch>
                </pic:blipFill>
                <pic:spPr bwMode="auto">
                  <a:xfrm>
                    <a:off x="0" y="0"/>
                    <a:ext cx="1438275" cy="6191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1A" w:rsidRDefault="00E5231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1A" w:rsidRDefault="00E5231A" w:rsidP="00E5231A">
      <w:pPr>
        <w:spacing w:after="0" w:line="240" w:lineRule="auto"/>
      </w:pPr>
      <w:r>
        <w:separator/>
      </w:r>
    </w:p>
  </w:footnote>
  <w:footnote w:type="continuationSeparator" w:id="0">
    <w:p w:rsidR="00E5231A" w:rsidRDefault="00E5231A" w:rsidP="00E52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1A" w:rsidRDefault="00E5231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1A" w:rsidRPr="00E5231A" w:rsidRDefault="00E5231A">
    <w:pPr>
      <w:pStyle w:val="Kopfzeile"/>
      <w:rPr>
        <w:rFonts w:asciiTheme="minorHAnsi" w:hAnsiTheme="minorHAnsi" w:cstheme="minorHAnsi"/>
        <w:sz w:val="24"/>
        <w:szCs w:val="24"/>
      </w:rPr>
    </w:pPr>
    <w:r w:rsidRPr="00E5231A">
      <w:rPr>
        <w:rFonts w:asciiTheme="minorHAnsi" w:hAnsiTheme="minorHAnsi" w:cstheme="minorHAnsi"/>
        <w:sz w:val="24"/>
        <w:szCs w:val="24"/>
      </w:rPr>
      <w:t xml:space="preserve">Wir weben mit. Netzwerken – </w:t>
    </w:r>
    <w:r w:rsidRPr="00E5231A">
      <w:rPr>
        <w:rFonts w:asciiTheme="minorHAnsi" w:hAnsiTheme="minorHAnsi" w:cstheme="minorHAnsi"/>
        <w:b/>
        <w:sz w:val="24"/>
        <w:szCs w:val="24"/>
      </w:rPr>
      <w:t>Download 1</w:t>
    </w:r>
  </w:p>
  <w:p w:rsidR="00E5231A" w:rsidRPr="00E5231A" w:rsidRDefault="00E5231A">
    <w:pPr>
      <w:pStyle w:val="Kopfzeile"/>
      <w:rPr>
        <w:rFonts w:asciiTheme="minorHAnsi" w:hAnsiTheme="minorHAnsi" w:cstheme="minorHAns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1A" w:rsidRDefault="00E5231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45CDC"/>
    <w:multiLevelType w:val="hybridMultilevel"/>
    <w:tmpl w:val="85F441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
    <w15:presenceInfo w15:providerId="None" w15:userId="Ell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2785"/>
    <w:rsid w:val="00115096"/>
    <w:rsid w:val="001759F9"/>
    <w:rsid w:val="00197D77"/>
    <w:rsid w:val="002A3ADE"/>
    <w:rsid w:val="002A745F"/>
    <w:rsid w:val="002F32AA"/>
    <w:rsid w:val="003865D5"/>
    <w:rsid w:val="003870D2"/>
    <w:rsid w:val="004008BB"/>
    <w:rsid w:val="00432785"/>
    <w:rsid w:val="0046035D"/>
    <w:rsid w:val="004A101F"/>
    <w:rsid w:val="004A4D85"/>
    <w:rsid w:val="005A4676"/>
    <w:rsid w:val="00673441"/>
    <w:rsid w:val="006B263F"/>
    <w:rsid w:val="007B1E34"/>
    <w:rsid w:val="00A1036D"/>
    <w:rsid w:val="00A97275"/>
    <w:rsid w:val="00AA566F"/>
    <w:rsid w:val="00AD237D"/>
    <w:rsid w:val="00BD3C40"/>
    <w:rsid w:val="00C6717C"/>
    <w:rsid w:val="00D322AF"/>
    <w:rsid w:val="00D36333"/>
    <w:rsid w:val="00E05EDC"/>
    <w:rsid w:val="00E5231A"/>
    <w:rsid w:val="00F90D40"/>
    <w:rsid w:val="00FF6B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emiSans" w:eastAsiaTheme="minorHAnsi" w:hAnsi="RotisSemiSans"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7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2785"/>
    <w:pPr>
      <w:ind w:left="720"/>
      <w:contextualSpacing/>
    </w:pPr>
  </w:style>
  <w:style w:type="character" w:styleId="Hyperlink">
    <w:name w:val="Hyperlink"/>
    <w:basedOn w:val="Absatz-Standardschriftart"/>
    <w:uiPriority w:val="99"/>
    <w:semiHidden/>
    <w:unhideWhenUsed/>
    <w:rsid w:val="00432785"/>
    <w:rPr>
      <w:color w:val="0000FF"/>
      <w:u w:val="single"/>
    </w:rPr>
  </w:style>
  <w:style w:type="character" w:styleId="Kommentarzeichen">
    <w:name w:val="annotation reference"/>
    <w:basedOn w:val="Absatz-Standardschriftart"/>
    <w:uiPriority w:val="99"/>
    <w:semiHidden/>
    <w:unhideWhenUsed/>
    <w:rsid w:val="004008BB"/>
    <w:rPr>
      <w:sz w:val="16"/>
      <w:szCs w:val="16"/>
    </w:rPr>
  </w:style>
  <w:style w:type="paragraph" w:styleId="Kommentartext">
    <w:name w:val="annotation text"/>
    <w:basedOn w:val="Standard"/>
    <w:link w:val="KommentartextZchn"/>
    <w:uiPriority w:val="99"/>
    <w:semiHidden/>
    <w:unhideWhenUsed/>
    <w:rsid w:val="004008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08BB"/>
    <w:rPr>
      <w:sz w:val="20"/>
      <w:szCs w:val="20"/>
    </w:rPr>
  </w:style>
  <w:style w:type="paragraph" w:styleId="Kommentarthema">
    <w:name w:val="annotation subject"/>
    <w:basedOn w:val="Kommentartext"/>
    <w:next w:val="Kommentartext"/>
    <w:link w:val="KommentarthemaZchn"/>
    <w:uiPriority w:val="99"/>
    <w:semiHidden/>
    <w:unhideWhenUsed/>
    <w:rsid w:val="004008BB"/>
    <w:rPr>
      <w:b/>
      <w:bCs/>
    </w:rPr>
  </w:style>
  <w:style w:type="character" w:customStyle="1" w:styleId="KommentarthemaZchn">
    <w:name w:val="Kommentarthema Zchn"/>
    <w:basedOn w:val="KommentartextZchn"/>
    <w:link w:val="Kommentarthema"/>
    <w:uiPriority w:val="99"/>
    <w:semiHidden/>
    <w:rsid w:val="004008BB"/>
    <w:rPr>
      <w:b/>
      <w:bCs/>
      <w:sz w:val="20"/>
      <w:szCs w:val="20"/>
    </w:rPr>
  </w:style>
  <w:style w:type="paragraph" w:styleId="Sprechblasentext">
    <w:name w:val="Balloon Text"/>
    <w:basedOn w:val="Standard"/>
    <w:link w:val="SprechblasentextZchn"/>
    <w:uiPriority w:val="99"/>
    <w:semiHidden/>
    <w:unhideWhenUsed/>
    <w:rsid w:val="004008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08BB"/>
    <w:rPr>
      <w:rFonts w:ascii="Segoe UI" w:hAnsi="Segoe UI" w:cs="Segoe UI"/>
      <w:sz w:val="18"/>
      <w:szCs w:val="18"/>
    </w:rPr>
  </w:style>
  <w:style w:type="paragraph" w:styleId="Kopfzeile">
    <w:name w:val="header"/>
    <w:basedOn w:val="Standard"/>
    <w:link w:val="KopfzeileZchn"/>
    <w:uiPriority w:val="99"/>
    <w:unhideWhenUsed/>
    <w:rsid w:val="00E523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31A"/>
  </w:style>
  <w:style w:type="paragraph" w:styleId="Fuzeile">
    <w:name w:val="footer"/>
    <w:basedOn w:val="Standard"/>
    <w:link w:val="FuzeileZchn"/>
    <w:uiPriority w:val="99"/>
    <w:semiHidden/>
    <w:unhideWhenUsed/>
    <w:rsid w:val="00E5231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5231A"/>
  </w:style>
</w:styles>
</file>

<file path=word/webSettings.xml><?xml version="1.0" encoding="utf-8"?>
<w:webSettings xmlns:r="http://schemas.openxmlformats.org/officeDocument/2006/relationships" xmlns:w="http://schemas.openxmlformats.org/wordprocessingml/2006/main">
  <w:divs>
    <w:div w:id="13192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Not" TargetMode="External"/><Relationship Id="rId13" Type="http://schemas.openxmlformats.org/officeDocument/2006/relationships/hyperlink" Target="https://de.wikipedia.org/wiki/Handeln" TargetMode="External"/><Relationship Id="rId18" Type="http://schemas.openxmlformats.org/officeDocument/2006/relationships/hyperlink" Target="https://de.wikipedia.org/wiki/Martin_Heidegg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e.wikipedia.org/wiki/Albert_Camus" TargetMode="External"/><Relationship Id="rId7" Type="http://schemas.openxmlformats.org/officeDocument/2006/relationships/endnotes" Target="endnotes.xml"/><Relationship Id="rId12" Type="http://schemas.openxmlformats.org/officeDocument/2006/relationships/hyperlink" Target="https://de.wikipedia.org/wiki/Denken" TargetMode="External"/><Relationship Id="rId17" Type="http://schemas.openxmlformats.org/officeDocument/2006/relationships/hyperlink" Target="https://de.wikipedia.org/wiki/Philosophie" TargetMode="External"/><Relationship Id="rId25" Type="http://schemas.openxmlformats.org/officeDocument/2006/relationships/header" Target="head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e.wikipedia.org/wiki/Kind" TargetMode="External"/><Relationship Id="rId20" Type="http://schemas.openxmlformats.org/officeDocument/2006/relationships/hyperlink" Target="https://de.wikipedia.org/wiki/F%C3%BCrsorg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F%C3%BChlen_%28Psychologie%29" TargetMode="External"/><Relationship Id="rId24"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de.wikipedia.org/wiki/Haustier" TargetMode="External"/><Relationship Id="rId23" Type="http://schemas.openxmlformats.org/officeDocument/2006/relationships/hyperlink" Target="https://de.wikipedia.org/wiki/Solidarit%C3%A4t" TargetMode="External"/><Relationship Id="rId28" Type="http://schemas.openxmlformats.org/officeDocument/2006/relationships/header" Target="header3.xml"/><Relationship Id="rId10" Type="http://schemas.openxmlformats.org/officeDocument/2006/relationships/hyperlink" Target="https://de.wikipedia.org/wiki/Gefahr" TargetMode="External"/><Relationship Id="rId19" Type="http://schemas.openxmlformats.org/officeDocument/2006/relationships/hyperlink" Target="https://de.wikipedia.org/wiki/Dase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wikipedia.org/wiki/Bed%C3%BCrfnis" TargetMode="External"/><Relationship Id="rId14" Type="http://schemas.openxmlformats.org/officeDocument/2006/relationships/hyperlink" Target="https://de.wikipedia.org/wiki/F%C3%BCrsorge" TargetMode="External"/><Relationship Id="rId22" Type="http://schemas.openxmlformats.org/officeDocument/2006/relationships/hyperlink" Target="https://de.wikipedia.org/wiki/Nihilismu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24E0E1EF-92C7-4BD1-9AE0-59B37565CE1B@multi.box"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FDDB2-9A80-49C9-B74C-CE0B7D79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TESTEKD</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Janzhoff, Hannelore</cp:lastModifiedBy>
  <cp:revision>8</cp:revision>
  <dcterms:created xsi:type="dcterms:W3CDTF">2016-09-26T15:00:00Z</dcterms:created>
  <dcterms:modified xsi:type="dcterms:W3CDTF">2016-11-17T06:56:00Z</dcterms:modified>
</cp:coreProperties>
</file>